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DEC784" w14:textId="680B6327" w:rsidR="00FE2AB2" w:rsidRPr="00B96449" w:rsidRDefault="00B97A93" w:rsidP="00E8208C">
      <w:r w:rsidRPr="00B97A93">
        <w:rPr>
          <w:rFonts w:asciiTheme="majorHAnsi" w:eastAsiaTheme="majorEastAsia" w:hAnsiTheme="majorHAnsi" w:cstheme="majorBidi"/>
          <w:b/>
          <w:color w:val="385623" w:themeColor="accent6" w:themeShade="80"/>
          <w:sz w:val="32"/>
          <w:szCs w:val="32"/>
        </w:rPr>
        <w:t>Guía de reciclaje</w:t>
      </w:r>
      <w:r w:rsidR="00320011" w:rsidRPr="00B96449">
        <w:t xml:space="preserve"> </w:t>
      </w:r>
    </w:p>
    <w:p w14:paraId="1407B97B" w14:textId="203DC387" w:rsidR="00B97A93" w:rsidRDefault="00B97A93" w:rsidP="00B97A93">
      <w:pPr>
        <w:pStyle w:val="Ttulo3"/>
        <w:jc w:val="both"/>
        <w:rPr>
          <w:rFonts w:asciiTheme="minorHAnsi" w:eastAsiaTheme="minorHAnsi" w:hAnsiTheme="minorHAnsi" w:cstheme="minorBidi"/>
          <w:color w:val="auto"/>
          <w:sz w:val="22"/>
          <w:szCs w:val="22"/>
        </w:rPr>
      </w:pPr>
      <w:r w:rsidRPr="00B97A93">
        <w:rPr>
          <w:rFonts w:asciiTheme="minorHAnsi" w:eastAsiaTheme="minorHAnsi" w:hAnsiTheme="minorHAnsi" w:cstheme="minorBidi"/>
          <w:color w:val="auto"/>
          <w:sz w:val="22"/>
          <w:szCs w:val="22"/>
        </w:rPr>
        <w:t>Esta guía busca orientar a los residentes en cómo realizar reciclaje al interior de la vivienda</w:t>
      </w:r>
      <w:r>
        <w:rPr>
          <w:rFonts w:asciiTheme="minorHAnsi" w:eastAsiaTheme="minorHAnsi" w:hAnsiTheme="minorHAnsi" w:cstheme="minorBidi"/>
          <w:color w:val="auto"/>
          <w:sz w:val="22"/>
          <w:szCs w:val="22"/>
        </w:rPr>
        <w:t>.</w:t>
      </w:r>
      <w:r w:rsidRPr="00B97A93">
        <w:rPr>
          <w:rFonts w:asciiTheme="minorHAnsi" w:eastAsiaTheme="minorHAnsi" w:hAnsiTheme="minorHAnsi" w:cstheme="minorBidi"/>
          <w:color w:val="auto"/>
          <w:sz w:val="22"/>
          <w:szCs w:val="22"/>
        </w:rPr>
        <w:t xml:space="preserve"> </w:t>
      </w:r>
      <w:r>
        <w:rPr>
          <w:rFonts w:asciiTheme="minorHAnsi" w:eastAsiaTheme="minorHAnsi" w:hAnsiTheme="minorHAnsi" w:cstheme="minorBidi"/>
          <w:color w:val="auto"/>
          <w:sz w:val="22"/>
          <w:szCs w:val="22"/>
        </w:rPr>
        <w:t>E</w:t>
      </w:r>
      <w:r w:rsidRPr="00B97A93">
        <w:rPr>
          <w:rFonts w:asciiTheme="minorHAnsi" w:eastAsiaTheme="minorHAnsi" w:hAnsiTheme="minorHAnsi" w:cstheme="minorBidi"/>
          <w:color w:val="auto"/>
          <w:sz w:val="22"/>
          <w:szCs w:val="22"/>
        </w:rPr>
        <w:t xml:space="preserve">sta guía parte del hecho que, como paso inicial para lograr un manejo adecuado de residuos, se debe iniciar por </w:t>
      </w:r>
      <w:r>
        <w:rPr>
          <w:rFonts w:asciiTheme="minorHAnsi" w:eastAsiaTheme="minorHAnsi" w:hAnsiTheme="minorHAnsi" w:cstheme="minorBidi"/>
          <w:color w:val="auto"/>
          <w:sz w:val="22"/>
          <w:szCs w:val="22"/>
        </w:rPr>
        <w:t>la</w:t>
      </w:r>
      <w:r w:rsidRPr="00B97A93">
        <w:rPr>
          <w:rFonts w:asciiTheme="minorHAnsi" w:eastAsiaTheme="minorHAnsi" w:hAnsiTheme="minorHAnsi" w:cstheme="minorBidi"/>
          <w:color w:val="auto"/>
          <w:sz w:val="22"/>
          <w:szCs w:val="22"/>
        </w:rPr>
        <w:t xml:space="preserve"> reducción </w:t>
      </w:r>
      <w:r>
        <w:rPr>
          <w:rFonts w:asciiTheme="minorHAnsi" w:eastAsiaTheme="minorHAnsi" w:hAnsiTheme="minorHAnsi" w:cstheme="minorBidi"/>
          <w:color w:val="auto"/>
          <w:sz w:val="22"/>
          <w:szCs w:val="22"/>
        </w:rPr>
        <w:t xml:space="preserve">en la </w:t>
      </w:r>
      <w:r w:rsidRPr="00B97A93">
        <w:rPr>
          <w:rFonts w:asciiTheme="minorHAnsi" w:eastAsiaTheme="minorHAnsi" w:hAnsiTheme="minorHAnsi" w:cstheme="minorBidi"/>
          <w:color w:val="auto"/>
          <w:sz w:val="22"/>
          <w:szCs w:val="22"/>
        </w:rPr>
        <w:t xml:space="preserve">generación de residuos, para </w:t>
      </w:r>
      <w:r>
        <w:rPr>
          <w:rFonts w:asciiTheme="minorHAnsi" w:eastAsiaTheme="minorHAnsi" w:hAnsiTheme="minorHAnsi" w:cstheme="minorBidi"/>
          <w:color w:val="auto"/>
          <w:sz w:val="22"/>
          <w:szCs w:val="22"/>
        </w:rPr>
        <w:t>luego optar por las</w:t>
      </w:r>
      <w:r w:rsidRPr="00B97A93">
        <w:rPr>
          <w:rFonts w:asciiTheme="minorHAnsi" w:eastAsiaTheme="minorHAnsi" w:hAnsiTheme="minorHAnsi" w:cstheme="minorBidi"/>
          <w:color w:val="auto"/>
          <w:sz w:val="22"/>
          <w:szCs w:val="22"/>
        </w:rPr>
        <w:t xml:space="preserve"> práctica</w:t>
      </w:r>
      <w:r>
        <w:rPr>
          <w:rFonts w:asciiTheme="minorHAnsi" w:eastAsiaTheme="minorHAnsi" w:hAnsiTheme="minorHAnsi" w:cstheme="minorBidi"/>
          <w:color w:val="auto"/>
          <w:sz w:val="22"/>
          <w:szCs w:val="22"/>
        </w:rPr>
        <w:t>s</w:t>
      </w:r>
      <w:r w:rsidRPr="00B97A93">
        <w:rPr>
          <w:rFonts w:asciiTheme="minorHAnsi" w:eastAsiaTheme="minorHAnsi" w:hAnsiTheme="minorHAnsi" w:cstheme="minorBidi"/>
          <w:color w:val="auto"/>
          <w:sz w:val="22"/>
          <w:szCs w:val="22"/>
        </w:rPr>
        <w:t xml:space="preserve"> </w:t>
      </w:r>
      <w:r>
        <w:rPr>
          <w:rFonts w:asciiTheme="minorHAnsi" w:eastAsiaTheme="minorHAnsi" w:hAnsiTheme="minorHAnsi" w:cstheme="minorBidi"/>
          <w:color w:val="auto"/>
          <w:sz w:val="22"/>
          <w:szCs w:val="22"/>
        </w:rPr>
        <w:t>de reciclaje</w:t>
      </w:r>
      <w:r w:rsidRPr="00B97A93">
        <w:rPr>
          <w:rFonts w:asciiTheme="minorHAnsi" w:eastAsiaTheme="minorHAnsi" w:hAnsiTheme="minorHAnsi" w:cstheme="minorBidi"/>
          <w:color w:val="auto"/>
          <w:sz w:val="22"/>
          <w:szCs w:val="22"/>
        </w:rPr>
        <w:t>.</w:t>
      </w:r>
    </w:p>
    <w:p w14:paraId="7C82DF37" w14:textId="43BA44A1" w:rsidR="002423B4" w:rsidRDefault="002423B4" w:rsidP="002423B4"/>
    <w:p w14:paraId="5BE7B3DF" w14:textId="2DE4F4AB" w:rsidR="002423B4" w:rsidRDefault="000C1404" w:rsidP="002423B4">
      <w:r>
        <w:t>Se recomienda revisar</w:t>
      </w:r>
      <w:r w:rsidRPr="000C1404">
        <w:t xml:space="preserve"> Guía nacional para la adecuada separación de residuos sólidos del DNP: </w:t>
      </w:r>
      <w:hyperlink r:id="rId7" w:history="1">
        <w:r w:rsidRPr="006833A3">
          <w:rPr>
            <w:rStyle w:val="Hipervnculo"/>
          </w:rPr>
          <w:t>https://colaboracion.dnp.gov.co/CDT/Vivienda%20Agua%20y%20Desarrollo%20Urbano/Guia_Residuos%20Solidos_Digital.pdf</w:t>
        </w:r>
      </w:hyperlink>
    </w:p>
    <w:p w14:paraId="10128555" w14:textId="4EE762F9" w:rsidR="00B97A93" w:rsidRDefault="00B97A93" w:rsidP="00BE0E37">
      <w:pPr>
        <w:rPr>
          <w:rFonts w:asciiTheme="majorHAnsi" w:eastAsiaTheme="majorEastAsia" w:hAnsiTheme="majorHAnsi" w:cstheme="majorBidi"/>
          <w:color w:val="385623" w:themeColor="accent6" w:themeShade="80"/>
          <w:sz w:val="24"/>
          <w:szCs w:val="24"/>
        </w:rPr>
      </w:pPr>
      <w:r>
        <w:rPr>
          <w:rFonts w:asciiTheme="majorHAnsi" w:eastAsiaTheme="majorEastAsia" w:hAnsiTheme="majorHAnsi" w:cstheme="majorBidi"/>
          <w:color w:val="385623" w:themeColor="accent6" w:themeShade="80"/>
          <w:sz w:val="24"/>
          <w:szCs w:val="24"/>
        </w:rPr>
        <w:t>Estrategias</w:t>
      </w:r>
      <w:r w:rsidRPr="00B97A93">
        <w:rPr>
          <w:rFonts w:asciiTheme="majorHAnsi" w:eastAsiaTheme="majorEastAsia" w:hAnsiTheme="majorHAnsi" w:cstheme="majorBidi"/>
          <w:color w:val="385623" w:themeColor="accent6" w:themeShade="80"/>
          <w:sz w:val="24"/>
          <w:szCs w:val="24"/>
        </w:rPr>
        <w:t xml:space="preserve"> para </w:t>
      </w:r>
      <w:r>
        <w:rPr>
          <w:rFonts w:asciiTheme="majorHAnsi" w:eastAsiaTheme="majorEastAsia" w:hAnsiTheme="majorHAnsi" w:cstheme="majorBidi"/>
          <w:color w:val="385623" w:themeColor="accent6" w:themeShade="80"/>
          <w:sz w:val="24"/>
          <w:szCs w:val="24"/>
        </w:rPr>
        <w:t xml:space="preserve">la </w:t>
      </w:r>
      <w:r w:rsidRPr="00B97A93">
        <w:rPr>
          <w:rFonts w:asciiTheme="majorHAnsi" w:eastAsiaTheme="majorEastAsia" w:hAnsiTheme="majorHAnsi" w:cstheme="majorBidi"/>
          <w:color w:val="385623" w:themeColor="accent6" w:themeShade="80"/>
          <w:sz w:val="24"/>
          <w:szCs w:val="24"/>
        </w:rPr>
        <w:t xml:space="preserve">reducción </w:t>
      </w:r>
      <w:r>
        <w:rPr>
          <w:rFonts w:asciiTheme="majorHAnsi" w:eastAsiaTheme="majorEastAsia" w:hAnsiTheme="majorHAnsi" w:cstheme="majorBidi"/>
          <w:color w:val="385623" w:themeColor="accent6" w:themeShade="80"/>
          <w:sz w:val="24"/>
          <w:szCs w:val="24"/>
        </w:rPr>
        <w:t xml:space="preserve">en la </w:t>
      </w:r>
      <w:r w:rsidRPr="00B97A93">
        <w:rPr>
          <w:rFonts w:asciiTheme="majorHAnsi" w:eastAsiaTheme="majorEastAsia" w:hAnsiTheme="majorHAnsi" w:cstheme="majorBidi"/>
          <w:color w:val="385623" w:themeColor="accent6" w:themeShade="80"/>
          <w:sz w:val="24"/>
          <w:szCs w:val="24"/>
        </w:rPr>
        <w:t>generación de residuos</w:t>
      </w:r>
    </w:p>
    <w:p w14:paraId="68C19B1C" w14:textId="5229B231" w:rsidR="00004FF4" w:rsidRDefault="00004FF4" w:rsidP="00B97A93">
      <w:pPr>
        <w:pStyle w:val="Prrafodelista"/>
        <w:numPr>
          <w:ilvl w:val="0"/>
          <w:numId w:val="14"/>
        </w:numPr>
        <w:jc w:val="both"/>
      </w:pPr>
      <w:r>
        <w:t>E</w:t>
      </w:r>
      <w:r w:rsidRPr="00004FF4">
        <w:t>vitar comprar objetos innecesarios.</w:t>
      </w:r>
    </w:p>
    <w:p w14:paraId="01156999" w14:textId="39DE15A5" w:rsidR="00B97A93" w:rsidRDefault="00B97A93" w:rsidP="00B97A93">
      <w:pPr>
        <w:pStyle w:val="Prrafodelista"/>
        <w:numPr>
          <w:ilvl w:val="0"/>
          <w:numId w:val="14"/>
        </w:numPr>
        <w:jc w:val="both"/>
      </w:pPr>
      <w:r>
        <w:t xml:space="preserve">Preferir </w:t>
      </w:r>
      <w:r w:rsidR="00004FF4">
        <w:t>productos sin empaque o con</w:t>
      </w:r>
      <w:r>
        <w:t xml:space="preserve"> empaques grandes y no empaques pequeños</w:t>
      </w:r>
    </w:p>
    <w:p w14:paraId="2D80B4FA" w14:textId="3DDD10C5" w:rsidR="00B97A93" w:rsidRDefault="00B97A93" w:rsidP="00B97A93">
      <w:pPr>
        <w:pStyle w:val="Prrafodelista"/>
        <w:numPr>
          <w:ilvl w:val="0"/>
          <w:numId w:val="14"/>
        </w:numPr>
        <w:jc w:val="both"/>
      </w:pPr>
      <w:r>
        <w:t xml:space="preserve">Disminuir la compra de botellas de plástico, </w:t>
      </w:r>
      <w:r w:rsidR="00004FF4">
        <w:t>utilizar botellas</w:t>
      </w:r>
      <w:r>
        <w:t xml:space="preserve"> reutilizables</w:t>
      </w:r>
      <w:r w:rsidR="00004FF4">
        <w:t xml:space="preserve"> </w:t>
      </w:r>
    </w:p>
    <w:p w14:paraId="3DAB9C9C" w14:textId="31B0CC9D" w:rsidR="00B97A93" w:rsidRDefault="00004FF4" w:rsidP="00B97A93">
      <w:pPr>
        <w:pStyle w:val="Prrafodelista"/>
        <w:numPr>
          <w:ilvl w:val="0"/>
          <w:numId w:val="14"/>
        </w:numPr>
        <w:jc w:val="both"/>
      </w:pPr>
      <w:r>
        <w:t>Utilizar</w:t>
      </w:r>
      <w:r w:rsidR="00B97A93">
        <w:t xml:space="preserve"> bolsas de tela para realizar las compras</w:t>
      </w:r>
    </w:p>
    <w:p w14:paraId="7BA3DE14" w14:textId="50345D08" w:rsidR="00B97A93" w:rsidRDefault="00B97A93" w:rsidP="00B97A93">
      <w:pPr>
        <w:pStyle w:val="Prrafodelista"/>
        <w:numPr>
          <w:ilvl w:val="0"/>
          <w:numId w:val="14"/>
        </w:numPr>
        <w:jc w:val="both"/>
      </w:pPr>
      <w:r>
        <w:t xml:space="preserve">Evitar los domicilios, empacar el almuerzo en </w:t>
      </w:r>
      <w:r w:rsidR="00004FF4">
        <w:t>recipientes</w:t>
      </w:r>
      <w:r>
        <w:t xml:space="preserve"> de vidrio</w:t>
      </w:r>
    </w:p>
    <w:p w14:paraId="478FB4A2" w14:textId="52CEF7E0" w:rsidR="6005BBD8" w:rsidRDefault="00B97A93" w:rsidP="00B97A93">
      <w:pPr>
        <w:pStyle w:val="Prrafodelista"/>
        <w:numPr>
          <w:ilvl w:val="0"/>
          <w:numId w:val="14"/>
        </w:numPr>
        <w:jc w:val="both"/>
      </w:pPr>
      <w:r>
        <w:t>Contar con contenedores para la separación del tipo de residuos, se debe separar los residuos orgánicos, los residuos ordinarios y los residuos reciclables. Los residuos orgánicos corresponden a residuos de fruta, verduras y de té y café, los residuos ordinarios corresponden a residuos del baño y residuos contaminados que no pueden ser reutilizados o reciclados.</w:t>
      </w:r>
    </w:p>
    <w:p w14:paraId="69082337" w14:textId="1B4E7D62" w:rsidR="00B97A93" w:rsidRDefault="00B97A93" w:rsidP="00B97A93">
      <w:pPr>
        <w:jc w:val="both"/>
        <w:rPr>
          <w:rFonts w:asciiTheme="majorHAnsi" w:eastAsiaTheme="majorEastAsia" w:hAnsiTheme="majorHAnsi" w:cstheme="majorBidi"/>
          <w:color w:val="385623" w:themeColor="accent6" w:themeShade="80"/>
          <w:sz w:val="24"/>
          <w:szCs w:val="24"/>
        </w:rPr>
      </w:pPr>
      <w:r w:rsidRPr="00B97A93">
        <w:rPr>
          <w:rFonts w:asciiTheme="majorHAnsi" w:eastAsiaTheme="majorEastAsia" w:hAnsiTheme="majorHAnsi" w:cstheme="majorBidi"/>
          <w:color w:val="385623" w:themeColor="accent6" w:themeShade="80"/>
          <w:sz w:val="24"/>
          <w:szCs w:val="24"/>
        </w:rPr>
        <w:t>Residuos reciclables</w:t>
      </w:r>
    </w:p>
    <w:p w14:paraId="2D2CE5EE" w14:textId="766A80F1" w:rsidR="00B97A93" w:rsidRDefault="00B97A93" w:rsidP="00B97A93">
      <w:pPr>
        <w:jc w:val="both"/>
      </w:pPr>
      <w:r w:rsidRPr="00B97A93">
        <w:t xml:space="preserve">Los residuos reciclables deben separarse adecuadamente por su tipología y </w:t>
      </w:r>
      <w:r w:rsidR="00004FF4">
        <w:t>estar limpios</w:t>
      </w:r>
      <w:r w:rsidRPr="00B97A93">
        <w:t xml:space="preserve"> para </w:t>
      </w:r>
      <w:r w:rsidR="00004FF4">
        <w:t>que puedan ser</w:t>
      </w:r>
      <w:r w:rsidRPr="00B97A93">
        <w:t xml:space="preserve"> reciclados por algún gestor</w:t>
      </w:r>
      <w:r w:rsidR="002423B4">
        <w:t>.</w:t>
      </w:r>
    </w:p>
    <w:p w14:paraId="596F219A" w14:textId="438B1B1D" w:rsidR="002423B4" w:rsidRPr="002423B4" w:rsidRDefault="002423B4" w:rsidP="000C1404">
      <w:pPr>
        <w:jc w:val="center"/>
      </w:pPr>
      <w:r>
        <w:rPr>
          <w:noProof/>
        </w:rPr>
        <w:drawing>
          <wp:inline distT="0" distB="0" distL="0" distR="0" wp14:anchorId="199BD79C" wp14:editId="0AB94A40">
            <wp:extent cx="4258666" cy="2905125"/>
            <wp:effectExtent l="0" t="0" r="8890" b="0"/>
            <wp:docPr id="2" name="Imagen 2" descr="Gráf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Gráfico&#10;&#10;Descripción generada automáticament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265893" cy="2910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423B4" w:rsidRPr="002423B4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4B42A3" w14:textId="77777777" w:rsidR="000B7C15" w:rsidRDefault="000B7C15" w:rsidP="000B3DB8">
      <w:pPr>
        <w:spacing w:after="0" w:line="240" w:lineRule="auto"/>
      </w:pPr>
      <w:r>
        <w:separator/>
      </w:r>
    </w:p>
  </w:endnote>
  <w:endnote w:type="continuationSeparator" w:id="0">
    <w:p w14:paraId="16B2C1C1" w14:textId="77777777" w:rsidR="000B7C15" w:rsidRDefault="000B7C15" w:rsidP="000B3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119577" w14:textId="77777777" w:rsidR="000B7C15" w:rsidRDefault="000B7C15" w:rsidP="000B3DB8">
      <w:pPr>
        <w:spacing w:after="0" w:line="240" w:lineRule="auto"/>
      </w:pPr>
      <w:bookmarkStart w:id="0" w:name="_Hlk85640915"/>
      <w:bookmarkEnd w:id="0"/>
      <w:r>
        <w:separator/>
      </w:r>
    </w:p>
  </w:footnote>
  <w:footnote w:type="continuationSeparator" w:id="0">
    <w:p w14:paraId="3A9641EC" w14:textId="77777777" w:rsidR="000B7C15" w:rsidRDefault="000B7C15" w:rsidP="000B3D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DBA6D9" w14:textId="4DA89548" w:rsidR="000B3DB8" w:rsidRPr="00307920" w:rsidRDefault="004606F4" w:rsidP="004C5EC8">
    <w:pPr>
      <w:pStyle w:val="Ttulo1"/>
      <w:ind w:right="4018"/>
    </w:pPr>
    <w:r>
      <w:rPr>
        <w:noProof/>
      </w:rPr>
      <w:drawing>
        <wp:anchor distT="0" distB="0" distL="114300" distR="114300" simplePos="0" relativeHeight="251660288" behindDoc="0" locked="0" layoutInCell="1" allowOverlap="1" wp14:anchorId="375F65E7" wp14:editId="7992CC08">
          <wp:simplePos x="0" y="0"/>
          <wp:positionH relativeFrom="column">
            <wp:posOffset>4445000</wp:posOffset>
          </wp:positionH>
          <wp:positionV relativeFrom="paragraph">
            <wp:posOffset>-384810</wp:posOffset>
          </wp:positionV>
          <wp:extent cx="1125855" cy="1289685"/>
          <wp:effectExtent l="0" t="0" r="0" b="5715"/>
          <wp:wrapSquare wrapText="bothSides"/>
          <wp:docPr id="1" name="Imagen 1" descr="Imagen que contiene Form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Imagen que contiene Forma&#10;&#10;Descripción generada automá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162" t="3532" r="1505" b="1973"/>
                  <a:stretch/>
                </pic:blipFill>
                <pic:spPr bwMode="auto">
                  <a:xfrm>
                    <a:off x="0" y="0"/>
                    <a:ext cx="1125855" cy="12896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428B99E" w14:textId="1925DB2C" w:rsidR="000B3DB8" w:rsidRDefault="000B3DB8" w:rsidP="000B3DB8">
    <w:pPr>
      <w:pStyle w:val="Encabezad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C1EBF"/>
    <w:multiLevelType w:val="multilevel"/>
    <w:tmpl w:val="45E0F0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color w:val="385623" w:themeColor="accent6" w:themeShade="8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03C6604E"/>
    <w:multiLevelType w:val="multilevel"/>
    <w:tmpl w:val="6B40FC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0D273AB1"/>
    <w:multiLevelType w:val="hybridMultilevel"/>
    <w:tmpl w:val="45C4D34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44CE394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8E1CBC"/>
    <w:multiLevelType w:val="multilevel"/>
    <w:tmpl w:val="45E0F0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color w:val="385623" w:themeColor="accent6" w:themeShade="8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" w15:restartNumberingAfterBreak="0">
    <w:nsid w:val="1F8B4498"/>
    <w:multiLevelType w:val="multilevel"/>
    <w:tmpl w:val="45E0F0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color w:val="385623" w:themeColor="accent6" w:themeShade="8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5" w15:restartNumberingAfterBreak="0">
    <w:nsid w:val="221A086C"/>
    <w:multiLevelType w:val="hybridMultilevel"/>
    <w:tmpl w:val="C706B28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3324FA"/>
    <w:multiLevelType w:val="multilevel"/>
    <w:tmpl w:val="45E0F0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color w:val="385623" w:themeColor="accent6" w:themeShade="8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7" w15:restartNumberingAfterBreak="0">
    <w:nsid w:val="2E401A3E"/>
    <w:multiLevelType w:val="hybridMultilevel"/>
    <w:tmpl w:val="043EFC2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75543A"/>
    <w:multiLevelType w:val="hybridMultilevel"/>
    <w:tmpl w:val="9454C9A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C752C7"/>
    <w:multiLevelType w:val="multilevel"/>
    <w:tmpl w:val="45E0F0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color w:val="385623" w:themeColor="accent6" w:themeShade="8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0" w15:restartNumberingAfterBreak="0">
    <w:nsid w:val="6A1D2A3D"/>
    <w:multiLevelType w:val="hybridMultilevel"/>
    <w:tmpl w:val="C706B28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554179"/>
    <w:multiLevelType w:val="multilevel"/>
    <w:tmpl w:val="45E0F0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color w:val="385623" w:themeColor="accent6" w:themeShade="8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2" w15:restartNumberingAfterBreak="0">
    <w:nsid w:val="6DC73E82"/>
    <w:multiLevelType w:val="hybridMultilevel"/>
    <w:tmpl w:val="6746868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9444AC"/>
    <w:multiLevelType w:val="multilevel"/>
    <w:tmpl w:val="45E0F0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color w:val="385623" w:themeColor="accent6" w:themeShade="8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 w16cid:durableId="1913463121">
    <w:abstractNumId w:val="7"/>
  </w:num>
  <w:num w:numId="2" w16cid:durableId="1816333464">
    <w:abstractNumId w:val="12"/>
  </w:num>
  <w:num w:numId="3" w16cid:durableId="2101371000">
    <w:abstractNumId w:val="9"/>
  </w:num>
  <w:num w:numId="4" w16cid:durableId="215357225">
    <w:abstractNumId w:val="8"/>
  </w:num>
  <w:num w:numId="5" w16cid:durableId="126095224">
    <w:abstractNumId w:val="4"/>
  </w:num>
  <w:num w:numId="6" w16cid:durableId="237634352">
    <w:abstractNumId w:val="6"/>
  </w:num>
  <w:num w:numId="7" w16cid:durableId="1427577913">
    <w:abstractNumId w:val="13"/>
  </w:num>
  <w:num w:numId="8" w16cid:durableId="1519656783">
    <w:abstractNumId w:val="3"/>
  </w:num>
  <w:num w:numId="9" w16cid:durableId="232400663">
    <w:abstractNumId w:val="0"/>
  </w:num>
  <w:num w:numId="10" w16cid:durableId="664672274">
    <w:abstractNumId w:val="11"/>
  </w:num>
  <w:num w:numId="11" w16cid:durableId="237636343">
    <w:abstractNumId w:val="1"/>
  </w:num>
  <w:num w:numId="12" w16cid:durableId="389572003">
    <w:abstractNumId w:val="10"/>
  </w:num>
  <w:num w:numId="13" w16cid:durableId="2094231049">
    <w:abstractNumId w:val="5"/>
  </w:num>
  <w:num w:numId="14" w16cid:durableId="6615472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AB2"/>
    <w:rsid w:val="00001451"/>
    <w:rsid w:val="000022AD"/>
    <w:rsid w:val="00004FF4"/>
    <w:rsid w:val="00067895"/>
    <w:rsid w:val="00080775"/>
    <w:rsid w:val="0008743E"/>
    <w:rsid w:val="00096EC7"/>
    <w:rsid w:val="000B3DB8"/>
    <w:rsid w:val="000B7C15"/>
    <w:rsid w:val="000C1404"/>
    <w:rsid w:val="000D28F3"/>
    <w:rsid w:val="000F39D8"/>
    <w:rsid w:val="000F7437"/>
    <w:rsid w:val="0011770B"/>
    <w:rsid w:val="00134404"/>
    <w:rsid w:val="00197605"/>
    <w:rsid w:val="001A034F"/>
    <w:rsid w:val="001D0EEF"/>
    <w:rsid w:val="001D5F32"/>
    <w:rsid w:val="00211846"/>
    <w:rsid w:val="002423B4"/>
    <w:rsid w:val="002533C1"/>
    <w:rsid w:val="002A642C"/>
    <w:rsid w:val="002B01D7"/>
    <w:rsid w:val="002F69DD"/>
    <w:rsid w:val="00307920"/>
    <w:rsid w:val="00320011"/>
    <w:rsid w:val="00355C18"/>
    <w:rsid w:val="003934B0"/>
    <w:rsid w:val="003B7B0D"/>
    <w:rsid w:val="003C57BB"/>
    <w:rsid w:val="003D7691"/>
    <w:rsid w:val="003F3669"/>
    <w:rsid w:val="004025A2"/>
    <w:rsid w:val="00454291"/>
    <w:rsid w:val="004606F4"/>
    <w:rsid w:val="00473529"/>
    <w:rsid w:val="00476BB4"/>
    <w:rsid w:val="004773C2"/>
    <w:rsid w:val="004A71AB"/>
    <w:rsid w:val="004C5EC8"/>
    <w:rsid w:val="004E14B2"/>
    <w:rsid w:val="004F01C5"/>
    <w:rsid w:val="00517893"/>
    <w:rsid w:val="00525C19"/>
    <w:rsid w:val="0055291F"/>
    <w:rsid w:val="00562702"/>
    <w:rsid w:val="005724D0"/>
    <w:rsid w:val="0059388C"/>
    <w:rsid w:val="005B58A3"/>
    <w:rsid w:val="005D46AC"/>
    <w:rsid w:val="005D6B3F"/>
    <w:rsid w:val="005F0EAE"/>
    <w:rsid w:val="005F1181"/>
    <w:rsid w:val="00604F0F"/>
    <w:rsid w:val="006175A4"/>
    <w:rsid w:val="00631B53"/>
    <w:rsid w:val="00645487"/>
    <w:rsid w:val="00646006"/>
    <w:rsid w:val="00650CA9"/>
    <w:rsid w:val="0066655F"/>
    <w:rsid w:val="00681334"/>
    <w:rsid w:val="0068306F"/>
    <w:rsid w:val="006B1F49"/>
    <w:rsid w:val="006F4A84"/>
    <w:rsid w:val="007052FB"/>
    <w:rsid w:val="007115A2"/>
    <w:rsid w:val="00727DBC"/>
    <w:rsid w:val="00731126"/>
    <w:rsid w:val="00760CA6"/>
    <w:rsid w:val="00777413"/>
    <w:rsid w:val="007A3340"/>
    <w:rsid w:val="007A61F2"/>
    <w:rsid w:val="007A68EC"/>
    <w:rsid w:val="007B3E8D"/>
    <w:rsid w:val="007C6BB7"/>
    <w:rsid w:val="007E1DBA"/>
    <w:rsid w:val="007E21C5"/>
    <w:rsid w:val="007F2285"/>
    <w:rsid w:val="007F4DDA"/>
    <w:rsid w:val="00833814"/>
    <w:rsid w:val="00873A72"/>
    <w:rsid w:val="00897D2E"/>
    <w:rsid w:val="008C3774"/>
    <w:rsid w:val="008C4044"/>
    <w:rsid w:val="008C4D57"/>
    <w:rsid w:val="008C6F9F"/>
    <w:rsid w:val="008E25D4"/>
    <w:rsid w:val="009229FF"/>
    <w:rsid w:val="00922B6F"/>
    <w:rsid w:val="00923B04"/>
    <w:rsid w:val="00933535"/>
    <w:rsid w:val="00945147"/>
    <w:rsid w:val="00952B00"/>
    <w:rsid w:val="00996306"/>
    <w:rsid w:val="009A7685"/>
    <w:rsid w:val="009B63AE"/>
    <w:rsid w:val="009C1EEF"/>
    <w:rsid w:val="00A222FF"/>
    <w:rsid w:val="00A23A79"/>
    <w:rsid w:val="00A30BD1"/>
    <w:rsid w:val="00A41B7B"/>
    <w:rsid w:val="00A4624B"/>
    <w:rsid w:val="00A56016"/>
    <w:rsid w:val="00A62D9A"/>
    <w:rsid w:val="00A77F6D"/>
    <w:rsid w:val="00A816EF"/>
    <w:rsid w:val="00A85195"/>
    <w:rsid w:val="00AD695D"/>
    <w:rsid w:val="00AE32C7"/>
    <w:rsid w:val="00B07347"/>
    <w:rsid w:val="00B27B25"/>
    <w:rsid w:val="00B40315"/>
    <w:rsid w:val="00B66BCA"/>
    <w:rsid w:val="00B923EF"/>
    <w:rsid w:val="00B96449"/>
    <w:rsid w:val="00B97A93"/>
    <w:rsid w:val="00BE0E37"/>
    <w:rsid w:val="00BE1A81"/>
    <w:rsid w:val="00BE5876"/>
    <w:rsid w:val="00C22F5B"/>
    <w:rsid w:val="00C24842"/>
    <w:rsid w:val="00C30179"/>
    <w:rsid w:val="00C3219D"/>
    <w:rsid w:val="00C424AA"/>
    <w:rsid w:val="00C47981"/>
    <w:rsid w:val="00CA7110"/>
    <w:rsid w:val="00CD04B0"/>
    <w:rsid w:val="00CD6C84"/>
    <w:rsid w:val="00CF0B1B"/>
    <w:rsid w:val="00D2359E"/>
    <w:rsid w:val="00D401FB"/>
    <w:rsid w:val="00D92415"/>
    <w:rsid w:val="00DD26CE"/>
    <w:rsid w:val="00DF32B5"/>
    <w:rsid w:val="00E325DA"/>
    <w:rsid w:val="00E529FD"/>
    <w:rsid w:val="00E71C26"/>
    <w:rsid w:val="00E75260"/>
    <w:rsid w:val="00E81C83"/>
    <w:rsid w:val="00E8208C"/>
    <w:rsid w:val="00E96EBB"/>
    <w:rsid w:val="00EA01A5"/>
    <w:rsid w:val="00ED18AC"/>
    <w:rsid w:val="00ED2C82"/>
    <w:rsid w:val="00EE045E"/>
    <w:rsid w:val="00EF3468"/>
    <w:rsid w:val="00F105E6"/>
    <w:rsid w:val="00F16557"/>
    <w:rsid w:val="00F16DCF"/>
    <w:rsid w:val="00F33CA0"/>
    <w:rsid w:val="00F348D2"/>
    <w:rsid w:val="00F9213A"/>
    <w:rsid w:val="00F93A32"/>
    <w:rsid w:val="00F93A7E"/>
    <w:rsid w:val="00FA07AC"/>
    <w:rsid w:val="00FD7967"/>
    <w:rsid w:val="00FE2AB2"/>
    <w:rsid w:val="11EE4FAC"/>
    <w:rsid w:val="12176FAD"/>
    <w:rsid w:val="1ACD6D51"/>
    <w:rsid w:val="1EB50907"/>
    <w:rsid w:val="1F9077E6"/>
    <w:rsid w:val="1FA0DE74"/>
    <w:rsid w:val="29502191"/>
    <w:rsid w:val="34D628E6"/>
    <w:rsid w:val="3C3CDB36"/>
    <w:rsid w:val="40C8D681"/>
    <w:rsid w:val="423B0CFC"/>
    <w:rsid w:val="59A271E7"/>
    <w:rsid w:val="6005BBD8"/>
    <w:rsid w:val="635260AF"/>
    <w:rsid w:val="7FD12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CB4BA03"/>
  <w15:chartTrackingRefBased/>
  <w15:docId w15:val="{B4E152B9-73BA-4129-A206-2A4E09B67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0792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385623" w:themeColor="accent6" w:themeShade="80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C5EC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color w:val="385623" w:themeColor="accent6" w:themeShade="80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30792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385623" w:themeColor="accent6" w:themeShade="80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A816E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85623" w:themeColor="accent6" w:themeShade="80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A816E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07920"/>
    <w:rPr>
      <w:rFonts w:asciiTheme="majorHAnsi" w:eastAsiaTheme="majorEastAsia" w:hAnsiTheme="majorHAnsi" w:cstheme="majorBidi"/>
      <w:b/>
      <w:color w:val="385623" w:themeColor="accent6" w:themeShade="80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4C5EC8"/>
    <w:rPr>
      <w:rFonts w:asciiTheme="majorHAnsi" w:eastAsiaTheme="majorEastAsia" w:hAnsiTheme="majorHAnsi" w:cstheme="majorBidi"/>
      <w:b/>
      <w:color w:val="385623" w:themeColor="accent6" w:themeShade="80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307920"/>
    <w:rPr>
      <w:rFonts w:asciiTheme="majorHAnsi" w:eastAsiaTheme="majorEastAsia" w:hAnsiTheme="majorHAnsi" w:cstheme="majorBidi"/>
      <w:color w:val="385623" w:themeColor="accent6" w:themeShade="8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0B3DB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B3DB8"/>
  </w:style>
  <w:style w:type="paragraph" w:styleId="Piedepgina">
    <w:name w:val="footer"/>
    <w:basedOn w:val="Normal"/>
    <w:link w:val="PiedepginaCar"/>
    <w:uiPriority w:val="99"/>
    <w:unhideWhenUsed/>
    <w:rsid w:val="000B3DB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B3DB8"/>
  </w:style>
  <w:style w:type="paragraph" w:styleId="Prrafodelista">
    <w:name w:val="List Paragraph"/>
    <w:basedOn w:val="Normal"/>
    <w:uiPriority w:val="34"/>
    <w:qFormat/>
    <w:rsid w:val="00E325DA"/>
    <w:pPr>
      <w:ind w:left="720"/>
      <w:contextualSpacing/>
    </w:pPr>
  </w:style>
  <w:style w:type="table" w:styleId="Tablaconcuadrcula">
    <w:name w:val="Table Grid"/>
    <w:basedOn w:val="Tablanormal"/>
    <w:uiPriority w:val="39"/>
    <w:rsid w:val="008C40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4Car">
    <w:name w:val="Título 4 Car"/>
    <w:basedOn w:val="Fuentedeprrafopredeter"/>
    <w:link w:val="Ttulo4"/>
    <w:uiPriority w:val="9"/>
    <w:rsid w:val="00A816EF"/>
    <w:rPr>
      <w:rFonts w:asciiTheme="majorHAnsi" w:eastAsiaTheme="majorEastAsia" w:hAnsiTheme="majorHAnsi" w:cstheme="majorBidi"/>
      <w:i/>
      <w:iCs/>
      <w:color w:val="385623" w:themeColor="accent6" w:themeShade="80"/>
    </w:rPr>
  </w:style>
  <w:style w:type="character" w:customStyle="1" w:styleId="Ttulo5Car">
    <w:name w:val="Título 5 Car"/>
    <w:basedOn w:val="Fuentedeprrafopredeter"/>
    <w:link w:val="Ttulo5"/>
    <w:uiPriority w:val="9"/>
    <w:rsid w:val="00A816EF"/>
    <w:rPr>
      <w:rFonts w:asciiTheme="majorHAnsi" w:eastAsiaTheme="majorEastAsia" w:hAnsiTheme="majorHAnsi" w:cstheme="majorBidi"/>
      <w:i/>
    </w:rPr>
  </w:style>
  <w:style w:type="paragraph" w:styleId="Sinespaciado">
    <w:name w:val="No Spacing"/>
    <w:uiPriority w:val="1"/>
    <w:qFormat/>
    <w:rsid w:val="00EE045E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476BB4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76B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108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colaboracion.dnp.gov.co/CDT/Vivienda%20Agua%20y%20Desarrollo%20Urbano/Guia_Residuos%20Solidos_Digital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155</Words>
  <Characters>1397</Characters>
  <Application>Microsoft Office Word</Application>
  <DocSecurity>0</DocSecurity>
  <Lines>63</Lines>
  <Paragraphs>53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Sanchez</dc:creator>
  <cp:keywords/>
  <dc:description/>
  <cp:lastModifiedBy>Daniel  Ernesto Ronderos Lopez</cp:lastModifiedBy>
  <cp:revision>3</cp:revision>
  <dcterms:created xsi:type="dcterms:W3CDTF">2022-11-30T23:00:00Z</dcterms:created>
  <dcterms:modified xsi:type="dcterms:W3CDTF">2022-11-30T23:03:00Z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ba9a396d6af6f2d16817d1951e31424b4c1c78b2782848028654c50e5630b220</vt:lpwstr>
  </property>
</Properties>
</file>